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部门年度绩效自评工作报告</w:t>
      </w: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年度）</w:t>
      </w:r>
    </w:p>
    <w:p>
      <w:pPr>
        <w:spacing w:line="480" w:lineRule="auto"/>
        <w:rPr>
          <w:rFonts w:hint="eastAsia" w:ascii="仿宋" w:hAnsi="仿宋" w:eastAsia="仿宋"/>
          <w:sz w:val="32"/>
        </w:rPr>
      </w:pPr>
    </w:p>
    <w:p>
      <w:pPr>
        <w:spacing w:line="480" w:lineRule="auto"/>
        <w:rPr>
          <w:rFonts w:ascii="仿宋" w:hAnsi="Times New Roman" w:eastAsia="仿宋"/>
          <w:sz w:val="32"/>
          <w:u w:val="single"/>
        </w:rPr>
      </w:pPr>
    </w:p>
    <w:p>
      <w:pPr>
        <w:spacing w:line="480" w:lineRule="auto"/>
        <w:rPr>
          <w:rFonts w:hint="eastAsia" w:ascii="仿宋" w:hAnsi="Times New Roman" w:eastAsia="仿宋"/>
          <w:sz w:val="32"/>
          <w:u w:val="single"/>
        </w:rPr>
      </w:pPr>
    </w:p>
    <w:p>
      <w:pPr>
        <w:spacing w:line="480" w:lineRule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部门（单位）</w:t>
      </w:r>
      <w:r>
        <w:rPr>
          <w:rFonts w:hint="eastAsia" w:ascii="仿宋" w:hAnsi="仿宋" w:eastAsia="仿宋"/>
          <w:sz w:val="32"/>
        </w:rPr>
        <w:t xml:space="preserve">名称 </w:t>
      </w:r>
      <w:r>
        <w:rPr>
          <w:rFonts w:hint="eastAsia" w:ascii="仿宋" w:hAnsi="Times New Roman" w:eastAsia="仿宋"/>
          <w:sz w:val="32"/>
          <w:u w:val="single"/>
        </w:rPr>
        <w:t>     </w:t>
      </w:r>
      <w:r>
        <w:rPr>
          <w:rFonts w:hint="eastAsia" w:ascii="宋体" w:hAnsi="宋体" w:eastAsia="楷体_GB2312" w:cs="宋体"/>
          <w:color w:val="333333"/>
          <w:kern w:val="0"/>
          <w:sz w:val="32"/>
          <w:szCs w:val="32"/>
          <w:u w:val="single"/>
        </w:rPr>
        <w:t>唐山市丰南区图书馆   </w:t>
      </w:r>
      <w:r>
        <w:rPr>
          <w:rFonts w:hint="eastAsia" w:ascii="仿宋" w:hAnsi="仿宋" w:eastAsia="仿宋"/>
          <w:sz w:val="32"/>
        </w:rPr>
        <w:t>（公章）</w:t>
      </w:r>
    </w:p>
    <w:p>
      <w:pPr>
        <w:spacing w:line="480" w:lineRule="auto"/>
        <w:rPr>
          <w:rFonts w:hint="eastAsia" w:ascii="仿宋" w:hAnsi="仿宋" w:eastAsia="仿宋"/>
          <w:sz w:val="32"/>
        </w:rPr>
      </w:pPr>
    </w:p>
    <w:p>
      <w:pPr>
        <w:spacing w:line="480" w:lineRule="auto"/>
        <w:rPr>
          <w:rFonts w:hint="eastAsia" w:ascii="仿宋" w:hAnsi="仿宋" w:eastAsia="仿宋"/>
          <w:sz w:val="32"/>
        </w:rPr>
      </w:pPr>
    </w:p>
    <w:p>
      <w:pPr>
        <w:spacing w:line="480" w:lineRule="auto"/>
        <w:rPr>
          <w:rFonts w:hint="eastAsia"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部门（单位）负责人签字：</w:t>
      </w:r>
      <w:r>
        <w:rPr>
          <w:rFonts w:hint="eastAsia" w:ascii="仿宋" w:hAnsi="仿宋" w:eastAsia="仿宋"/>
          <w:sz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u w:val="single"/>
        </w:rPr>
        <w:t xml:space="preserve">           </w:t>
      </w:r>
    </w:p>
    <w:p>
      <w:pPr>
        <w:spacing w:line="480" w:lineRule="auto"/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 xml:space="preserve">  </w:t>
      </w:r>
    </w:p>
    <w:p>
      <w:pPr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Times New Roman" w:eastAsia="仿宋"/>
          <w:sz w:val="32"/>
        </w:rPr>
        <w:t>   </w:t>
      </w:r>
      <w:r>
        <w:rPr>
          <w:rFonts w:hint="eastAsia" w:ascii="仿宋" w:hAnsi="Times New Roman" w:eastAsia="仿宋"/>
          <w:sz w:val="32"/>
          <w:lang w:val="en-US" w:eastAsia="zh-CN"/>
        </w:rPr>
        <w:t>2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Times New Roman" w:eastAsia="仿宋"/>
          <w:sz w:val="32"/>
          <w:lang w:val="en-US" w:eastAsia="zh-CN"/>
        </w:rPr>
        <w:t>19</w:t>
      </w:r>
      <w:r>
        <w:rPr>
          <w:rFonts w:hint="eastAsia" w:ascii="仿宋" w:hAnsi="仿宋" w:eastAsia="仿宋"/>
          <w:sz w:val="32"/>
        </w:rPr>
        <w:t>日</w:t>
      </w: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仿宋" w:eastAsia="仿宋" w:cs="仿宋"/>
          <w:b/>
          <w:bCs/>
          <w:sz w:val="30"/>
          <w:szCs w:val="30"/>
        </w:rPr>
      </w:pPr>
    </w:p>
    <w:p>
      <w:pPr>
        <w:ind w:firstLine="602" w:firstLineChars="200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一、绩效自评工作组织开展情况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color w:val="auto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为确实做好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 w:cs="DengXian-Regular"/>
          <w:sz w:val="32"/>
          <w:szCs w:val="32"/>
        </w:rPr>
        <w:t>年度绩效自评工作，提高财政资金使用效益，结合实际，我馆领导高度重视，成立了以馆长为组长的绩效评价工作小组，组织有关部门积极开展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 w:cs="DengXian-Regular"/>
          <w:sz w:val="32"/>
          <w:szCs w:val="32"/>
        </w:rPr>
        <w:t>年度财政绩效自评工作。涉及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个项目，预算资金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197.23</w:t>
      </w:r>
      <w:r>
        <w:rPr>
          <w:rFonts w:hint="eastAsia" w:ascii="仿宋_GB2312" w:eastAsia="仿宋_GB2312" w:cs="DengXian-Regular"/>
          <w:sz w:val="32"/>
          <w:szCs w:val="32"/>
        </w:rPr>
        <w:t>万元。实际支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出</w:t>
      </w:r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197.15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万元。</w:t>
      </w:r>
      <w:r>
        <w:rPr>
          <w:rFonts w:hint="eastAsia" w:ascii="仿宋_GB2312" w:eastAsia="仿宋_GB2312" w:cs="DengXian-Regular"/>
          <w:color w:val="auto"/>
          <w:sz w:val="32"/>
          <w:szCs w:val="32"/>
          <w:lang w:eastAsia="zh-CN"/>
        </w:rPr>
        <w:t>其中：共同事权转移支付项目</w:t>
      </w:r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2个，预算安排14万元，支出14万元，专项转移支付项目1个，预算安排2万元，支出2万元，区级项目6个，预算安排181.23万元，支出181.15万元。</w:t>
      </w:r>
    </w:p>
    <w:p>
      <w:pPr>
        <w:adjustRightInd w:val="0"/>
        <w:snapToGrid w:val="0"/>
        <w:spacing w:line="580" w:lineRule="exact"/>
        <w:ind w:firstLine="602" w:firstLineChars="200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二、绩效目标实现情况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left="420" w:left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部门总体目标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1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坚持公益性原则，实施零门槛进入和基本服务全免费，免费开放率100%。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2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依照本地实际做好文献资源建设，合理入藏纸质图书报刊、数字资源、非书资源，保障群众基本阅读需求，年度文献外借量达到20万册次。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3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通过图书借阅、读书活动开展等各种形式做好读者服务工作，促进全民阅读工作的有效开展，年度各类活动开展达到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 w:cs="DengXian-Regular"/>
          <w:sz w:val="32"/>
          <w:szCs w:val="32"/>
        </w:rPr>
        <w:t>场次。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4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积极进行文化保护，对丰南城乡地域文献资源及文化资源进行收藏、挖掘、保护，推动优秀地域文化传承和推广普及工作。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5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扎实做好馆员业务培训、基层辅导培训工作，提升整体服务水平。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6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进一步推进公共文化服务体系建设，努力完善全区图书馆总分馆建设，提升、扩大服务成果。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(7)</w:t>
      </w:r>
      <w:r>
        <w:rPr>
          <w:rFonts w:hint="eastAsia" w:ascii="仿宋_GB2312" w:eastAsia="仿宋_GB2312" w:cs="DengXian-Regular"/>
          <w:sz w:val="32"/>
          <w:szCs w:val="32"/>
        </w:rPr>
        <w:t>做好基础设施、设备的维护、保养、更新工作。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(8)</w:t>
      </w:r>
      <w:r>
        <w:rPr>
          <w:rFonts w:hint="eastAsia" w:ascii="仿宋_GB2312" w:eastAsia="仿宋_GB2312" w:cs="DengXian-Regular"/>
          <w:sz w:val="32"/>
          <w:szCs w:val="32"/>
        </w:rPr>
        <w:t>配合上级有关部门做好相关政治文化、宣传等工作。2、具体绩效目标完成情况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color w:val="auto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 w:cs="DengXian-Regular"/>
          <w:sz w:val="32"/>
          <w:szCs w:val="32"/>
        </w:rPr>
        <w:t>年度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我馆9个项目共支出</w:t>
      </w:r>
      <w:bookmarkStart w:id="0" w:name="_GoBack"/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197.15</w:t>
      </w:r>
      <w:bookmarkEnd w:id="0"/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万元，积极完善信息网络工程、做好电子设备维护工作；开展线上活动330余场，线下活动130余场，参与人数达37万余人次；总馆现场共接待读者30余万人次，外借图书近24万册次。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b/>
          <w:bCs/>
          <w:sz w:val="32"/>
          <w:szCs w:val="32"/>
        </w:rPr>
      </w:pPr>
      <w:r>
        <w:rPr>
          <w:rFonts w:hint="eastAsia" w:ascii="仿宋_GB2312" w:eastAsia="仿宋_GB2312" w:cs="DengXian-Regular"/>
          <w:b/>
          <w:bCs/>
          <w:sz w:val="32"/>
          <w:szCs w:val="32"/>
        </w:rPr>
        <w:t>三、绩效目标设定质量情况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color w:val="auto"/>
          <w:sz w:val="32"/>
          <w:szCs w:val="32"/>
        </w:rPr>
        <w:t>我馆项目依照</w:t>
      </w:r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公共图书馆服务体系的要求和服务精神文明建设的要求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，项目立项规范</w:t>
      </w:r>
      <w:r>
        <w:rPr>
          <w:rFonts w:hint="eastAsia" w:ascii="仿宋_GB2312" w:eastAsia="仿宋_GB2312" w:cs="DengXian-Regular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绩效目标合理</w:t>
      </w:r>
      <w:r>
        <w:rPr>
          <w:rFonts w:hint="eastAsia" w:ascii="仿宋_GB2312" w:eastAsia="仿宋_GB2312" w:cs="DengXian-Regular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符合规定格式要求，内容完整</w:t>
      </w:r>
      <w:r>
        <w:rPr>
          <w:rFonts w:hint="eastAsia" w:ascii="仿宋_GB2312" w:eastAsia="仿宋_GB2312" w:cs="DengXian-Regular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充分体现了</w:t>
      </w:r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图书馆阅读推广的职能和提升读者阅读兴趣的要求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，目标量化、具体，做到了绩效目标设定清晰准确。绩效指标明确、全面完整、科学合理，绩效标准恰当适宜、易于评价。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b/>
          <w:bCs/>
          <w:sz w:val="32"/>
          <w:szCs w:val="32"/>
        </w:rPr>
      </w:pPr>
      <w:r>
        <w:rPr>
          <w:rFonts w:hint="eastAsia" w:ascii="仿宋_GB2312" w:eastAsia="仿宋_GB2312" w:cs="DengXian-Regular"/>
          <w:b/>
          <w:bCs/>
          <w:sz w:val="32"/>
          <w:szCs w:val="32"/>
        </w:rPr>
        <w:t>四、整改措施及结果应用</w:t>
      </w:r>
    </w:p>
    <w:p>
      <w:pPr>
        <w:spacing w:line="560" w:lineRule="exact"/>
        <w:ind w:firstLine="640" w:firstLineChars="200"/>
        <w:rPr>
          <w:rFonts w:ascii="仿宋" w:eastAsia="仿宋" w:cs="仿宋"/>
          <w:sz w:val="30"/>
          <w:szCs w:val="30"/>
        </w:rPr>
      </w:pPr>
      <w:r>
        <w:rPr>
          <w:rFonts w:hint="eastAsia" w:ascii="仿宋_GB2312" w:eastAsia="仿宋_GB2312" w:cs="DengXian-Regular"/>
          <w:sz w:val="32"/>
          <w:szCs w:val="32"/>
        </w:rPr>
        <w:t>丰南图书馆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0"/>
          <w:szCs w:val="30"/>
        </w:rPr>
        <w:t>个预算项目</w:t>
      </w:r>
      <w:r>
        <w:rPr>
          <w:rFonts w:hint="eastAsia" w:ascii="仿宋_GB2312" w:eastAsia="仿宋_GB2312" w:cs="DengXian-Regular"/>
          <w:sz w:val="32"/>
          <w:szCs w:val="32"/>
        </w:rPr>
        <w:t>绩效自评优秀，在结果运用上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推进免押金办证服务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实施读者积分制管理，配合积分制及时设计印制“读行护照”；继续完善</w:t>
      </w:r>
      <w:r>
        <w:rPr>
          <w:rFonts w:hint="eastAsia" w:ascii="仿宋_GB2312" w:eastAsia="仿宋_GB2312" w:cs="DengXian-Regular"/>
          <w:sz w:val="32"/>
          <w:szCs w:val="32"/>
        </w:rPr>
        <w:t>手机借阅服务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和</w:t>
      </w:r>
      <w:r>
        <w:rPr>
          <w:rFonts w:hint="eastAsia" w:ascii="仿宋_GB2312" w:eastAsia="仿宋_GB2312" w:cs="DengXian-Regular"/>
          <w:sz w:val="32"/>
          <w:szCs w:val="32"/>
        </w:rPr>
        <w:t>“您选书我买单＆云书馆”读者点单采书服务，服务人数达150余人次，采购图书550余册次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。继续打造丰南图书馆</w:t>
      </w:r>
      <w:r>
        <w:rPr>
          <w:rFonts w:hint="eastAsia" w:ascii="仿宋_GB2312" w:eastAsia="仿宋_GB2312" w:cs="DengXian-Regular"/>
          <w:sz w:val="32"/>
          <w:szCs w:val="32"/>
          <w:lang w:val="zh-CN" w:eastAsia="zh-CN"/>
        </w:rPr>
        <w:t>“云书香”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线上服务升级</w:t>
      </w:r>
      <w:r>
        <w:rPr>
          <w:rFonts w:hint="eastAsia" w:ascii="仿宋_GB2312" w:eastAsia="仿宋_GB2312" w:cs="DengXian-Regular"/>
          <w:sz w:val="32"/>
          <w:szCs w:val="32"/>
          <w:lang w:val="zh-CN" w:eastAsia="zh-CN"/>
        </w:rPr>
        <w:t>品牌，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突出原创主导和自建数字资源理念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,积极提升手机微信服务，突出原创主导和自建数字资源理念。</w:t>
      </w:r>
      <w:r>
        <w:rPr>
          <w:rFonts w:hint="eastAsia" w:ascii="仿宋_GB2312" w:eastAsia="仿宋_GB2312" w:cs="仿宋_GB2312"/>
          <w:bCs w:val="0"/>
          <w:spacing w:val="-6"/>
          <w:sz w:val="32"/>
          <w:szCs w:val="32"/>
          <w:lang w:bidi="he-IL"/>
        </w:rPr>
        <w:t>全力推进书香之城建设，提升民众文化获得感</w:t>
      </w:r>
      <w:r>
        <w:rPr>
          <w:rFonts w:hint="eastAsia" w:ascii="仿宋_GB2312" w:eastAsia="仿宋_GB2312" w:cs="仿宋_GB2312"/>
          <w:bCs w:val="0"/>
          <w:spacing w:val="-6"/>
          <w:sz w:val="32"/>
          <w:szCs w:val="32"/>
          <w:lang w:eastAsia="zh-CN" w:bidi="he-IL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E753D"/>
    <w:multiLevelType w:val="singleLevel"/>
    <w:tmpl w:val="EA9E753D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RkMjZhNzViYzM2Njk0MTliNWY5MDE0NTBlY2ExZDQifQ=="/>
  </w:docVars>
  <w:rsids>
    <w:rsidRoot w:val="00000000"/>
    <w:rsid w:val="038F2452"/>
    <w:rsid w:val="1B29715F"/>
    <w:rsid w:val="1E3D72FD"/>
    <w:rsid w:val="22753B05"/>
    <w:rsid w:val="2B153EBB"/>
    <w:rsid w:val="2CAF70D7"/>
    <w:rsid w:val="2E1B26B3"/>
    <w:rsid w:val="2F6F4108"/>
    <w:rsid w:val="2FC477A7"/>
    <w:rsid w:val="31BF226D"/>
    <w:rsid w:val="36CD2AA6"/>
    <w:rsid w:val="37240FDC"/>
    <w:rsid w:val="389E16BF"/>
    <w:rsid w:val="3EA45F44"/>
    <w:rsid w:val="3F445440"/>
    <w:rsid w:val="3FB77D9F"/>
    <w:rsid w:val="46893FBE"/>
    <w:rsid w:val="477762AD"/>
    <w:rsid w:val="495723CC"/>
    <w:rsid w:val="4A760B11"/>
    <w:rsid w:val="4B6E3869"/>
    <w:rsid w:val="4CBE050F"/>
    <w:rsid w:val="535A20E7"/>
    <w:rsid w:val="58A31C5F"/>
    <w:rsid w:val="59713EC8"/>
    <w:rsid w:val="5CE772E5"/>
    <w:rsid w:val="61C54B4F"/>
    <w:rsid w:val="61D22B5A"/>
    <w:rsid w:val="61DB7658"/>
    <w:rsid w:val="627A6877"/>
    <w:rsid w:val="64867564"/>
    <w:rsid w:val="64FF619A"/>
    <w:rsid w:val="660C2013"/>
    <w:rsid w:val="6C5952D3"/>
    <w:rsid w:val="6CFE5E8A"/>
    <w:rsid w:val="6D58205B"/>
    <w:rsid w:val="704141FC"/>
    <w:rsid w:val="74361611"/>
    <w:rsid w:val="75DF4A94"/>
    <w:rsid w:val="77C27D00"/>
    <w:rsid w:val="7AFF3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1058</Words>
  <Characters>1144</Characters>
  <Lines>58</Lines>
  <Paragraphs>21</Paragraphs>
  <TotalTime>3</TotalTime>
  <ScaleCrop>false</ScaleCrop>
  <LinksUpToDate>false</LinksUpToDate>
  <CharactersWithSpaces>1201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2019-04-17T06:01:00Z</dcterms:created>
  <dc:creator>Administrator</dc:creator>
  <cp:lastModifiedBy>JJ_Ban</cp:lastModifiedBy>
  <cp:lastPrinted>2022-02-08T07:22:00Z</cp:lastPrinted>
  <dcterms:modified xsi:type="dcterms:W3CDTF">2024-02-20T01:57:38Z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3C7184D3E78C440694C30CD99FB40C71</vt:lpwstr>
  </property>
</Properties>
</file>